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ROSCI0170ZPB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Pădurea și mlaștinile eutrofe de la Prejmer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67926614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13792076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23568520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312,32</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89,09%</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Brașov</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88466437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22930615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56839544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50363326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28082850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3001384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311,86</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RONPA0275 Pădurea și mlaștinile eutrofe de la Prejmer;</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390"/>
        <w:gridCol w:w="5580"/>
        <w:tblGridChange w:id="0">
          <w:tblGrid>
            <w:gridCol w:w="3390"/>
            <w:gridCol w:w="55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C">
            <w:pPr>
              <w:spacing w:after="0" w:line="300" w:lineRule="auto"/>
              <w:rPr>
                <w:i w:val="1"/>
                <w:iCs w:val="1"/>
                <w:sz w:val="22"/>
                <w:szCs w:val="22"/>
              </w:rPr>
            </w:pPr>
            <w:r w:rsidDel="00000000" w:rsidR="00000000" w:rsidRPr="00000000">
              <w:rPr>
                <w:i w:val="1"/>
                <w:iCs w:val="1"/>
                <w:sz w:val="22"/>
                <w:szCs w:val="22"/>
                <w:rtl w:val="0"/>
              </w:rPr>
              <w:t xml:space="preserve">91Y0 Păduri dacice de stejar şi carpen</w:t>
            </w:r>
          </w:p>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w:t>
            </w:r>
            <w:r w:rsidDel="00000000" w:rsidR="00000000" w:rsidRPr="00000000">
              <w:rPr>
                <w:rtl w:val="0"/>
              </w:rPr>
              <w:t xml:space="preserve"> </w:t>
            </w:r>
            <w:r w:rsidDel="00000000" w:rsidR="00000000" w:rsidRPr="00000000">
              <w:rPr>
                <w:b w:val="1"/>
                <w:bCs w:val="1"/>
                <w:sz w:val="22"/>
                <w:szCs w:val="22"/>
                <w:rtl w:val="0"/>
              </w:rPr>
              <w:t xml:space="preserve">mlaștini calcifile:</w:t>
            </w:r>
          </w:p>
          <w:p w:rsidR="00000000" w:rsidDel="00000000" w:rsidP="00000000" w:rsidRDefault="00000000" w:rsidRPr="00000000" w14:paraId="0000006E">
            <w:pPr>
              <w:spacing w:after="0" w:line="300" w:lineRule="auto"/>
              <w:rPr>
                <w:sz w:val="22"/>
                <w:szCs w:val="22"/>
              </w:rPr>
            </w:pPr>
            <w:r w:rsidDel="00000000" w:rsidR="00000000" w:rsidRPr="00000000">
              <w:rPr>
                <w:sz w:val="22"/>
                <w:szCs w:val="22"/>
                <w:rtl w:val="0"/>
              </w:rPr>
              <w:t xml:space="preserve">7210* - Mlaştini calcifile cu </w:t>
            </w:r>
            <w:r w:rsidDel="00000000" w:rsidR="00000000" w:rsidRPr="00000000">
              <w:rPr>
                <w:i w:val="1"/>
                <w:iCs w:val="1"/>
                <w:sz w:val="22"/>
                <w:szCs w:val="22"/>
                <w:rtl w:val="0"/>
              </w:rPr>
              <w:t xml:space="preserve">Cladium mariscus</w:t>
            </w:r>
            <w:r w:rsidDel="00000000" w:rsidR="00000000" w:rsidRPr="00000000">
              <w:rPr>
                <w:sz w:val="22"/>
                <w:szCs w:val="22"/>
                <w:rtl w:val="0"/>
              </w:rPr>
              <w:t xml:space="preserve"> şi specii de </w:t>
            </w:r>
            <w:r w:rsidDel="00000000" w:rsidR="00000000" w:rsidRPr="00000000">
              <w:rPr>
                <w:i w:val="1"/>
                <w:iCs w:val="1"/>
                <w:sz w:val="22"/>
                <w:szCs w:val="22"/>
                <w:rtl w:val="0"/>
              </w:rPr>
              <w:t xml:space="preserve">Caricion davallianae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I01 Specii invazive non-native(alogene)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B">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E">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Marușca T., Pop, O. G., 2001. Heracleum sosnowskyi from Prejmer-Brașov a new adventive species for Romanian Flora. Acta Horti Botanici Bucurestiensis 29:149-153</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Morariu I., 1966, Mlaştinile de la Prejmer conservatoare de relicte floristice, Ocr. nat., 10, 1: 49-58 + 4 fig. + o hartă</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Şerbănescu Maria, 1963, Contribuţii la studiul florei şi vegetaţiei algelor din mlaştinile eutrofe Hărman-Prejmer (Reg. Braşov), St. cerc. Biol., Ser. Bot., 15, 4: 453-468</w:t>
      </w:r>
    </w:p>
    <w:p w:rsidR="00000000" w:rsidDel="00000000" w:rsidP="00000000" w:rsidRDefault="00000000" w:rsidRPr="00000000" w14:paraId="000000A2">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 Consultările publice  au fost realizate la: 26 septembrie 2024 – Brașov, jud. Brașov. Ulterior, în cadrul procesului de consultare extins la nivel național, au avut loc consultări suplimentare online, în data de 11 decembrie 2025 cu participarea factorilor interesați relevanți din județul Brașov, apoi în perioada 16 – 18 februarie au avut loc consultări publice la  Prefectura Brașov.</w:t>
      </w:r>
    </w:p>
    <w:p w:rsidR="00000000" w:rsidDel="00000000" w:rsidP="00000000" w:rsidRDefault="00000000" w:rsidRPr="00000000" w14:paraId="000000A4">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w:t>
      </w:r>
    </w:p>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M4m9GLAGF6B4PbGi2wNnsa7Nm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VKSUVmWVJVN0Y3c2RrTnE5RGFsb2ZXN29pMFI4NWJ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